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CF0AEA">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F0AEA">
        <w:rPr>
          <w:rFonts w:ascii="Times New Roman" w:hAnsi="Times New Roman"/>
          <w:b/>
          <w:lang w:val="ru-RU"/>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CF0A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CF0AEA">
        <w:rPr>
          <w:rFonts w:ascii="Times New Roman" w:hAnsi="Times New Roman"/>
          <w:snapToGrid w:val="0"/>
          <w:lang w:val="ru-RU"/>
        </w:rPr>
        <w:t xml:space="preserve"> на проекта на договор, включен в документацията за участие.</w:t>
      </w:r>
    </w:p>
    <w:p w:rsidR="00357476" w:rsidRPr="00CF0A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CF0AEA"/>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227A"/>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0AEA"/>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73;&#1044;%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бД от ППЗОП</Template>
  <TotalTime>1</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mistefanova</dc:creator>
  <cp:lastModifiedBy>mistefanova</cp:lastModifiedBy>
  <cp:revision>1</cp:revision>
  <cp:lastPrinted>2016-11-01T08:59:00Z</cp:lastPrinted>
  <dcterms:created xsi:type="dcterms:W3CDTF">2016-11-01T08:58:00Z</dcterms:created>
  <dcterms:modified xsi:type="dcterms:W3CDTF">2016-11-01T08:59:00Z</dcterms:modified>
</cp:coreProperties>
</file>